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7423F" w14:textId="33F9BDD5" w:rsidR="006C0125" w:rsidRPr="006C0125" w:rsidRDefault="006C0125" w:rsidP="006C0125">
      <w:pPr>
        <w:jc w:val="center"/>
        <w:rPr>
          <w:rFonts w:ascii="Arial" w:hAnsi="Arial" w:cs="Arial"/>
          <w:b/>
          <w:bCs/>
        </w:rPr>
      </w:pPr>
      <w:r w:rsidRPr="006C0125">
        <w:rPr>
          <w:rFonts w:ascii="Arial" w:hAnsi="Arial" w:cs="Arial"/>
          <w:b/>
          <w:bCs/>
        </w:rPr>
        <w:t>Public Law Solicitor</w:t>
      </w:r>
    </w:p>
    <w:p w14:paraId="0F253764" w14:textId="77777777" w:rsidR="006C0125" w:rsidRPr="006C0125" w:rsidRDefault="006C0125" w:rsidP="006C0125">
      <w:pPr>
        <w:rPr>
          <w:rFonts w:ascii="Arial" w:hAnsi="Arial" w:cs="Arial"/>
        </w:rPr>
      </w:pPr>
      <w:r w:rsidRPr="006C0125">
        <w:rPr>
          <w:rFonts w:ascii="Arial" w:hAnsi="Arial" w:cs="Arial"/>
          <w:b/>
          <w:bCs/>
        </w:rPr>
        <w:t>Salary range:</w:t>
      </w:r>
      <w:r w:rsidRPr="006C0125">
        <w:rPr>
          <w:rFonts w:ascii="Arial" w:hAnsi="Arial" w:cs="Arial"/>
        </w:rPr>
        <w:t xml:space="preserve"> NJC scale SP29–33, £44,235–£47,925</w:t>
      </w:r>
      <w:r w:rsidRPr="006C0125">
        <w:rPr>
          <w:rFonts w:ascii="Arial" w:hAnsi="Arial" w:cs="Arial"/>
        </w:rPr>
        <w:br/>
      </w:r>
      <w:r w:rsidRPr="006C0125">
        <w:rPr>
          <w:rFonts w:ascii="Arial" w:hAnsi="Arial" w:cs="Arial"/>
          <w:i/>
          <w:iCs/>
        </w:rPr>
        <w:t>(pro rata if part time; starting salary dependent on experience)</w:t>
      </w:r>
    </w:p>
    <w:p w14:paraId="21CABC44" w14:textId="77777777" w:rsidR="006C0125" w:rsidRPr="006C0125" w:rsidRDefault="006C0125" w:rsidP="006C0125">
      <w:pPr>
        <w:rPr>
          <w:rFonts w:ascii="Arial" w:hAnsi="Arial" w:cs="Arial"/>
          <w:b/>
          <w:bCs/>
        </w:rPr>
      </w:pPr>
      <w:r w:rsidRPr="006C0125">
        <w:rPr>
          <w:rFonts w:ascii="Arial" w:hAnsi="Arial" w:cs="Arial"/>
          <w:b/>
          <w:bCs/>
        </w:rPr>
        <w:t>35 hours per week – applications for 28 hours per week will also be considered</w:t>
      </w:r>
    </w:p>
    <w:p w14:paraId="79A5345F" w14:textId="77777777" w:rsidR="006C0125" w:rsidRPr="006C0125" w:rsidRDefault="006C0125" w:rsidP="006C0125">
      <w:pPr>
        <w:rPr>
          <w:rFonts w:ascii="Arial" w:hAnsi="Arial" w:cs="Arial"/>
        </w:rPr>
      </w:pPr>
      <w:r w:rsidRPr="006C0125">
        <w:rPr>
          <w:rFonts w:ascii="Arial" w:hAnsi="Arial" w:cs="Arial"/>
          <w:b/>
          <w:bCs/>
        </w:rPr>
        <w:t>Southwark Law Centre</w:t>
      </w:r>
      <w:r w:rsidRPr="006C0125">
        <w:rPr>
          <w:rFonts w:ascii="Arial" w:hAnsi="Arial" w:cs="Arial"/>
        </w:rPr>
        <w:t xml:space="preserve"> provides specialist legal advice and representation to individuals and communities across a range of social welfare law. Our public law work includes complex judicial review and other public law challenges, including cases arising from immigration and asylum matters and across the Law Centre's wider areas of practice.</w:t>
      </w:r>
    </w:p>
    <w:p w14:paraId="51D71F24" w14:textId="78886587" w:rsidR="006C0125" w:rsidRPr="006C0125" w:rsidRDefault="006C0125" w:rsidP="006C0125">
      <w:pPr>
        <w:rPr>
          <w:rFonts w:ascii="Arial" w:hAnsi="Arial" w:cs="Arial"/>
        </w:rPr>
      </w:pPr>
      <w:r w:rsidRPr="006C0125">
        <w:rPr>
          <w:rFonts w:ascii="Arial" w:hAnsi="Arial" w:cs="Arial"/>
        </w:rPr>
        <w:t xml:space="preserve">We are seeking an experienced </w:t>
      </w:r>
      <w:r w:rsidRPr="006C0125">
        <w:rPr>
          <w:rFonts w:ascii="Arial" w:hAnsi="Arial" w:cs="Arial"/>
          <w:b/>
          <w:bCs/>
        </w:rPr>
        <w:t xml:space="preserve">Public Law Solicitor </w:t>
      </w:r>
      <w:r w:rsidRPr="006C0125">
        <w:rPr>
          <w:rFonts w:ascii="Arial" w:hAnsi="Arial" w:cs="Arial"/>
        </w:rPr>
        <w:t>to undertake complex public law casework and help supervise and develop public law work across the Law Centre.</w:t>
      </w:r>
    </w:p>
    <w:p w14:paraId="44D28105" w14:textId="77777777" w:rsidR="006C0125" w:rsidRPr="006C0125" w:rsidRDefault="006C0125" w:rsidP="006C0125">
      <w:pPr>
        <w:rPr>
          <w:rFonts w:ascii="Arial" w:hAnsi="Arial" w:cs="Arial"/>
        </w:rPr>
      </w:pPr>
      <w:r w:rsidRPr="006C0125">
        <w:rPr>
          <w:rFonts w:ascii="Arial" w:hAnsi="Arial" w:cs="Arial"/>
        </w:rPr>
        <w:t>The successful applicant will manage their own caseload, including judicial review proceedings, and act as a Legal Aid Agency supervisor for our Public Law contract. They will provide casework supervision and technical support to colleagues, help identify potential public law challenges across our practice areas, and contribute to the quality and development of our public law work.</w:t>
      </w:r>
    </w:p>
    <w:p w14:paraId="5AAC6798" w14:textId="04CC2B59" w:rsidR="006C0125" w:rsidRPr="006C0125" w:rsidRDefault="006C0125" w:rsidP="006C0125">
      <w:pPr>
        <w:rPr>
          <w:rFonts w:ascii="Arial" w:hAnsi="Arial" w:cs="Arial"/>
        </w:rPr>
      </w:pPr>
      <w:r w:rsidRPr="006C0125">
        <w:rPr>
          <w:rFonts w:ascii="Arial" w:hAnsi="Arial" w:cs="Arial"/>
        </w:rPr>
        <w:t xml:space="preserve">The successful applicant will </w:t>
      </w:r>
      <w:r>
        <w:rPr>
          <w:rFonts w:ascii="Arial" w:hAnsi="Arial" w:cs="Arial"/>
        </w:rPr>
        <w:t xml:space="preserve">be a qualified solicitor and will </w:t>
      </w:r>
      <w:r w:rsidRPr="006C0125">
        <w:rPr>
          <w:rFonts w:ascii="Arial" w:hAnsi="Arial" w:cs="Arial"/>
        </w:rPr>
        <w:t>have:</w:t>
      </w:r>
    </w:p>
    <w:p w14:paraId="20E56E9C" w14:textId="77777777" w:rsidR="006C0125" w:rsidRDefault="006C0125" w:rsidP="006C0125">
      <w:pPr>
        <w:numPr>
          <w:ilvl w:val="0"/>
          <w:numId w:val="2"/>
        </w:numPr>
        <w:spacing w:line="240" w:lineRule="auto"/>
        <w:rPr>
          <w:rFonts w:ascii="Arial" w:hAnsi="Arial" w:cs="Arial"/>
        </w:rPr>
      </w:pPr>
      <w:r w:rsidRPr="006C0125">
        <w:rPr>
          <w:rFonts w:ascii="Arial" w:hAnsi="Arial" w:cs="Arial"/>
        </w:rPr>
        <w:t>Substantial recent experience of public law casework and judicial review, including urgent proceedings and applications for interim relief.</w:t>
      </w:r>
    </w:p>
    <w:p w14:paraId="14E69AC2" w14:textId="21AA64B0" w:rsidR="006C0125" w:rsidRPr="006C0125" w:rsidRDefault="006C0125" w:rsidP="006C0125">
      <w:pPr>
        <w:numPr>
          <w:ilvl w:val="0"/>
          <w:numId w:val="2"/>
        </w:numPr>
        <w:spacing w:line="240" w:lineRule="auto"/>
        <w:rPr>
          <w:rFonts w:ascii="Arial" w:hAnsi="Arial" w:cs="Arial"/>
        </w:rPr>
      </w:pPr>
      <w:r w:rsidRPr="006C0125">
        <w:rPr>
          <w:rFonts w:ascii="Arial" w:hAnsi="Arial" w:cs="Arial"/>
        </w:rPr>
        <w:t>Experience of public law challenges arising from immigration and asylum matters.</w:t>
      </w:r>
    </w:p>
    <w:p w14:paraId="6DCBD41F" w14:textId="77777777" w:rsidR="006C0125" w:rsidRPr="006C0125" w:rsidRDefault="006C0125" w:rsidP="006C0125">
      <w:pPr>
        <w:numPr>
          <w:ilvl w:val="0"/>
          <w:numId w:val="2"/>
        </w:numPr>
        <w:spacing w:line="240" w:lineRule="auto"/>
        <w:rPr>
          <w:rFonts w:ascii="Arial" w:hAnsi="Arial" w:cs="Arial"/>
        </w:rPr>
      </w:pPr>
      <w:r w:rsidRPr="006C0125">
        <w:rPr>
          <w:rFonts w:ascii="Arial" w:hAnsi="Arial" w:cs="Arial"/>
        </w:rPr>
        <w:t>Significant experience of conducting publicly funded casework and using CCMS.</w:t>
      </w:r>
    </w:p>
    <w:p w14:paraId="3F95ACB0" w14:textId="77777777" w:rsidR="006C0125" w:rsidRPr="006C0125" w:rsidRDefault="006C0125" w:rsidP="006C0125">
      <w:pPr>
        <w:numPr>
          <w:ilvl w:val="0"/>
          <w:numId w:val="2"/>
        </w:numPr>
        <w:spacing w:line="240" w:lineRule="auto"/>
        <w:rPr>
          <w:rFonts w:ascii="Arial" w:hAnsi="Arial" w:cs="Arial"/>
        </w:rPr>
      </w:pPr>
      <w:r w:rsidRPr="006C0125">
        <w:rPr>
          <w:rFonts w:ascii="Arial" w:hAnsi="Arial" w:cs="Arial"/>
        </w:rPr>
        <w:t>Experience of conducting complex public law litigation and supervising legal casework.</w:t>
      </w:r>
    </w:p>
    <w:p w14:paraId="6C0EA67D" w14:textId="77777777" w:rsidR="006C0125" w:rsidRPr="006C0125" w:rsidRDefault="006C0125" w:rsidP="006C0125">
      <w:pPr>
        <w:numPr>
          <w:ilvl w:val="0"/>
          <w:numId w:val="2"/>
        </w:numPr>
        <w:spacing w:line="240" w:lineRule="auto"/>
        <w:rPr>
          <w:rFonts w:ascii="Arial" w:hAnsi="Arial" w:cs="Arial"/>
        </w:rPr>
      </w:pPr>
      <w:r w:rsidRPr="006C0125">
        <w:rPr>
          <w:rFonts w:ascii="Arial" w:hAnsi="Arial" w:cs="Arial"/>
        </w:rPr>
        <w:t>The ability to meet the Legal Aid Agency supervisor requirements for the Public Law category immediately on appointment.</w:t>
      </w:r>
    </w:p>
    <w:p w14:paraId="0915FF5A" w14:textId="77777777" w:rsidR="006C0125" w:rsidRPr="006C0125" w:rsidRDefault="006C0125" w:rsidP="006C0125">
      <w:pPr>
        <w:rPr>
          <w:rFonts w:ascii="Arial" w:hAnsi="Arial" w:cs="Arial"/>
        </w:rPr>
      </w:pPr>
      <w:r w:rsidRPr="006C0125">
        <w:rPr>
          <w:rFonts w:ascii="Arial" w:hAnsi="Arial" w:cs="Arial"/>
        </w:rPr>
        <w:t>Southwark Law Centre is committed to promoting Equality, Diversity and Inclusion. We welcome applications from suitably qualified and eligible candidates regardless of age, disability, gender reassignment, marriage and civil partnership, pregnancy or maternity, race, religion or belief, sex (gender) and sexual orientation.</w:t>
      </w:r>
    </w:p>
    <w:p w14:paraId="2BF1CF93" w14:textId="77777777" w:rsidR="006C0125" w:rsidRPr="006C0125" w:rsidRDefault="006C0125" w:rsidP="006C0125">
      <w:pPr>
        <w:rPr>
          <w:rFonts w:ascii="Arial" w:hAnsi="Arial" w:cs="Arial"/>
        </w:rPr>
      </w:pPr>
      <w:r w:rsidRPr="006C0125">
        <w:rPr>
          <w:rFonts w:ascii="Arial" w:hAnsi="Arial" w:cs="Arial"/>
        </w:rPr>
        <w:t xml:space="preserve">SLC has adopted an agile working </w:t>
      </w:r>
      <w:proofErr w:type="gramStart"/>
      <w:r w:rsidRPr="006C0125">
        <w:rPr>
          <w:rFonts w:ascii="Arial" w:hAnsi="Arial" w:cs="Arial"/>
        </w:rPr>
        <w:t>policy</w:t>
      </w:r>
      <w:proofErr w:type="gramEnd"/>
      <w:r w:rsidRPr="006C0125">
        <w:rPr>
          <w:rFonts w:ascii="Arial" w:hAnsi="Arial" w:cs="Arial"/>
        </w:rPr>
        <w:t xml:space="preserve"> and all staff are set up to be able to work partly from home.</w:t>
      </w:r>
    </w:p>
    <w:p w14:paraId="76B516DC" w14:textId="4F278751" w:rsidR="006C0125" w:rsidRPr="006C0125" w:rsidRDefault="006C0125" w:rsidP="006C0125">
      <w:pPr>
        <w:rPr>
          <w:rFonts w:ascii="Arial" w:hAnsi="Arial" w:cs="Arial"/>
          <w:b/>
          <w:bCs/>
        </w:rPr>
      </w:pPr>
      <w:r w:rsidRPr="006C0125">
        <w:rPr>
          <w:rFonts w:ascii="Arial" w:hAnsi="Arial" w:cs="Arial"/>
          <w:b/>
          <w:bCs/>
        </w:rPr>
        <w:lastRenderedPageBreak/>
        <w:t xml:space="preserve">If you would like an informal discussion about the role please contact: </w:t>
      </w:r>
      <w:hyperlink r:id="rId7" w:history="1">
        <w:r w:rsidRPr="006C0125">
          <w:rPr>
            <w:rStyle w:val="Hyperlink"/>
            <w:rFonts w:ascii="Arial" w:hAnsi="Arial" w:cs="Arial"/>
            <w:b/>
            <w:bCs/>
          </w:rPr>
          <w:t>bethan.mcgovern</w:t>
        </w:r>
        <w:r w:rsidRPr="006C0125">
          <w:rPr>
            <w:rStyle w:val="Hyperlink"/>
            <w:rFonts w:ascii="Arial" w:hAnsi="Arial" w:cs="Arial"/>
            <w:b/>
            <w:bCs/>
          </w:rPr>
          <w:t>@southwarklawcentre.org.uk</w:t>
        </w:r>
      </w:hyperlink>
    </w:p>
    <w:p w14:paraId="1C3AFBAC" w14:textId="77777777" w:rsidR="006C0125" w:rsidRPr="006C0125" w:rsidRDefault="006C0125" w:rsidP="006C0125">
      <w:pPr>
        <w:rPr>
          <w:rFonts w:ascii="Arial" w:hAnsi="Arial" w:cs="Arial"/>
        </w:rPr>
      </w:pPr>
      <w:r w:rsidRPr="006C0125">
        <w:rPr>
          <w:rFonts w:ascii="Arial" w:hAnsi="Arial" w:cs="Arial"/>
        </w:rPr>
        <w:t>Terms and conditions include:</w:t>
      </w:r>
    </w:p>
    <w:p w14:paraId="1DD5B1CE" w14:textId="77777777" w:rsidR="006C0125" w:rsidRPr="006C0125" w:rsidRDefault="006C0125" w:rsidP="006C0125">
      <w:pPr>
        <w:numPr>
          <w:ilvl w:val="0"/>
          <w:numId w:val="3"/>
        </w:numPr>
        <w:rPr>
          <w:rFonts w:ascii="Arial" w:hAnsi="Arial" w:cs="Arial"/>
        </w:rPr>
      </w:pPr>
      <w:r w:rsidRPr="006C0125">
        <w:rPr>
          <w:rFonts w:ascii="Arial" w:hAnsi="Arial" w:cs="Arial"/>
        </w:rPr>
        <w:t>Excellent Pension Scheme</w:t>
      </w:r>
    </w:p>
    <w:p w14:paraId="2A12E7C8" w14:textId="77777777" w:rsidR="006C0125" w:rsidRPr="006C0125" w:rsidRDefault="006C0125" w:rsidP="006C0125">
      <w:pPr>
        <w:numPr>
          <w:ilvl w:val="0"/>
          <w:numId w:val="3"/>
        </w:numPr>
        <w:rPr>
          <w:rFonts w:ascii="Arial" w:hAnsi="Arial" w:cs="Arial"/>
        </w:rPr>
      </w:pPr>
      <w:r w:rsidRPr="006C0125">
        <w:rPr>
          <w:rFonts w:ascii="Arial" w:hAnsi="Arial" w:cs="Arial"/>
        </w:rPr>
        <w:t>Flexible working policy</w:t>
      </w:r>
    </w:p>
    <w:p w14:paraId="3252A31F" w14:textId="77777777" w:rsidR="006C0125" w:rsidRPr="006C0125" w:rsidRDefault="006C0125" w:rsidP="006C0125">
      <w:pPr>
        <w:numPr>
          <w:ilvl w:val="0"/>
          <w:numId w:val="3"/>
        </w:numPr>
        <w:rPr>
          <w:rFonts w:ascii="Arial" w:hAnsi="Arial" w:cs="Arial"/>
        </w:rPr>
      </w:pPr>
      <w:r w:rsidRPr="006C0125">
        <w:rPr>
          <w:rFonts w:ascii="Arial" w:hAnsi="Arial" w:cs="Arial"/>
        </w:rPr>
        <w:t>30 days' holiday plus bank holidays (pro rata for part-time staff)</w:t>
      </w:r>
    </w:p>
    <w:p w14:paraId="2748B055" w14:textId="77777777" w:rsidR="006C0125" w:rsidRPr="006C0125" w:rsidRDefault="006C0125" w:rsidP="006C0125">
      <w:pPr>
        <w:rPr>
          <w:rFonts w:ascii="Arial" w:hAnsi="Arial" w:cs="Arial"/>
        </w:rPr>
      </w:pPr>
      <w:r w:rsidRPr="006C0125">
        <w:rPr>
          <w:rFonts w:ascii="Arial" w:hAnsi="Arial" w:cs="Arial"/>
        </w:rPr>
        <w:t xml:space="preserve">For an application pack please visit: </w:t>
      </w:r>
      <w:hyperlink r:id="rId8" w:history="1">
        <w:r w:rsidRPr="006C0125">
          <w:rPr>
            <w:rStyle w:val="Hyperlink"/>
            <w:rFonts w:ascii="Arial" w:hAnsi="Arial" w:cs="Arial"/>
          </w:rPr>
          <w:t>www.southwarklawcentre.org.uk</w:t>
        </w:r>
      </w:hyperlink>
    </w:p>
    <w:p w14:paraId="2AA17F14" w14:textId="3B4A6C53" w:rsidR="006C0125" w:rsidRPr="006C0125" w:rsidRDefault="006C0125" w:rsidP="006C0125">
      <w:pPr>
        <w:rPr>
          <w:rFonts w:ascii="Arial" w:hAnsi="Arial" w:cs="Arial"/>
        </w:rPr>
      </w:pPr>
      <w:r w:rsidRPr="006C0125">
        <w:rPr>
          <w:rFonts w:ascii="Arial" w:hAnsi="Arial" w:cs="Arial"/>
        </w:rPr>
        <w:t xml:space="preserve">Closing date for applications: </w:t>
      </w:r>
      <w:r>
        <w:rPr>
          <w:rFonts w:ascii="Arial" w:hAnsi="Arial" w:cs="Arial"/>
        </w:rPr>
        <w:t>11:59pm on Monday 28 September 2026</w:t>
      </w:r>
    </w:p>
    <w:p w14:paraId="1094DFB6" w14:textId="603D4A79" w:rsidR="006C0125" w:rsidRPr="006C0125" w:rsidRDefault="006C0125" w:rsidP="006C0125">
      <w:pPr>
        <w:rPr>
          <w:rFonts w:ascii="Arial" w:hAnsi="Arial" w:cs="Arial"/>
        </w:rPr>
      </w:pPr>
      <w:r w:rsidRPr="006C0125">
        <w:rPr>
          <w:rFonts w:ascii="Arial" w:hAnsi="Arial" w:cs="Arial"/>
        </w:rPr>
        <w:t xml:space="preserve">Interviews will take place </w:t>
      </w:r>
      <w:r>
        <w:rPr>
          <w:rFonts w:ascii="Arial" w:hAnsi="Arial" w:cs="Arial"/>
        </w:rPr>
        <w:t>during week commencing 5 October 2026</w:t>
      </w:r>
    </w:p>
    <w:p w14:paraId="3D64A8D3" w14:textId="66B419A5" w:rsidR="006C0125" w:rsidRPr="006C0125" w:rsidRDefault="006C0125" w:rsidP="006C0125">
      <w:pPr>
        <w:pStyle w:val="font8"/>
        <w:spacing w:before="0" w:beforeAutospacing="0" w:after="0" w:afterAutospacing="0"/>
        <w:textAlignment w:val="baseline"/>
        <w:rPr>
          <w:rStyle w:val="color15"/>
          <w:rFonts w:ascii="Arial" w:hAnsi="Arial" w:cs="Arial"/>
          <w:b/>
          <w:bCs/>
        </w:rPr>
      </w:pPr>
      <w:r w:rsidRPr="006C0125">
        <w:rPr>
          <w:rFonts w:ascii="Arial" w:hAnsi="Arial" w:cs="Arial"/>
          <w:b/>
          <w:bCs/>
        </w:rPr>
        <w:t>Our policy re starting salary in the range</w:t>
      </w:r>
      <w:r w:rsidR="00213288">
        <w:rPr>
          <w:rFonts w:ascii="Arial" w:hAnsi="Arial" w:cs="Arial"/>
          <w:b/>
          <w:bCs/>
        </w:rPr>
        <w:t xml:space="preserve"> </w:t>
      </w:r>
      <w:r w:rsidRPr="006C0125">
        <w:rPr>
          <w:rStyle w:val="color15"/>
          <w:rFonts w:ascii="Arial" w:hAnsi="Arial" w:cs="Arial"/>
          <w:b/>
          <w:bCs/>
          <w:color w:val="000000"/>
          <w:bdr w:val="none" w:sz="0" w:space="0" w:color="auto" w:frame="1"/>
        </w:rPr>
        <w:t>NJC scale SP</w:t>
      </w:r>
      <w:r w:rsidRPr="006C0125">
        <w:rPr>
          <w:rStyle w:val="color15"/>
          <w:rFonts w:ascii="Arial" w:hAnsi="Arial" w:cs="Arial"/>
          <w:b/>
          <w:bCs/>
          <w:color w:val="000000"/>
          <w:bdr w:val="none" w:sz="0" w:space="0" w:color="auto" w:frame="1"/>
        </w:rPr>
        <w:t>2</w:t>
      </w:r>
      <w:r w:rsidRPr="006C0125">
        <w:rPr>
          <w:rStyle w:val="color15"/>
          <w:rFonts w:ascii="Arial" w:hAnsi="Arial" w:cs="Arial"/>
          <w:b/>
          <w:bCs/>
          <w:color w:val="000000"/>
          <w:bdr w:val="none" w:sz="0" w:space="0" w:color="auto" w:frame="1"/>
        </w:rPr>
        <w:t xml:space="preserve">9 </w:t>
      </w:r>
      <w:r w:rsidRPr="006C0125">
        <w:rPr>
          <w:rStyle w:val="color15"/>
          <w:rFonts w:ascii="Arial" w:hAnsi="Arial" w:cs="Arial"/>
          <w:b/>
          <w:bCs/>
          <w:color w:val="000000"/>
          <w:bdr w:val="none" w:sz="0" w:space="0" w:color="auto" w:frame="1"/>
        </w:rPr>
        <w:t>–</w:t>
      </w:r>
      <w:r w:rsidRPr="006C0125">
        <w:rPr>
          <w:rStyle w:val="color15"/>
          <w:rFonts w:ascii="Arial" w:hAnsi="Arial" w:cs="Arial"/>
          <w:b/>
          <w:bCs/>
          <w:color w:val="000000"/>
          <w:bdr w:val="none" w:sz="0" w:space="0" w:color="auto" w:frame="1"/>
        </w:rPr>
        <w:t xml:space="preserve"> 3</w:t>
      </w:r>
      <w:r w:rsidRPr="006C0125">
        <w:rPr>
          <w:rStyle w:val="color15"/>
          <w:rFonts w:ascii="Arial" w:hAnsi="Arial" w:cs="Arial"/>
          <w:b/>
          <w:bCs/>
          <w:color w:val="000000"/>
          <w:bdr w:val="none" w:sz="0" w:space="0" w:color="auto" w:frame="1"/>
        </w:rPr>
        <w:t>3</w:t>
      </w:r>
    </w:p>
    <w:p w14:paraId="33FCBEF0" w14:textId="6ADC2E81" w:rsidR="006C0125" w:rsidRPr="006C0125" w:rsidRDefault="006C0125" w:rsidP="006C0125">
      <w:pPr>
        <w:pStyle w:val="font8"/>
        <w:numPr>
          <w:ilvl w:val="0"/>
          <w:numId w:val="4"/>
        </w:numPr>
        <w:textAlignment w:val="baseline"/>
        <w:rPr>
          <w:rFonts w:ascii="Arial" w:hAnsi="Arial" w:cs="Arial"/>
        </w:rPr>
      </w:pPr>
      <w:r w:rsidRPr="006C0125">
        <w:rPr>
          <w:rFonts w:ascii="Arial" w:hAnsi="Arial" w:cs="Arial"/>
        </w:rPr>
        <w:t>Relevant casework experience 0-2 years SP</w:t>
      </w:r>
      <w:r>
        <w:rPr>
          <w:rFonts w:ascii="Arial" w:hAnsi="Arial" w:cs="Arial"/>
        </w:rPr>
        <w:t>2</w:t>
      </w:r>
      <w:r w:rsidRPr="006C0125">
        <w:rPr>
          <w:rFonts w:ascii="Arial" w:hAnsi="Arial" w:cs="Arial"/>
        </w:rPr>
        <w:t xml:space="preserve">9 </w:t>
      </w:r>
    </w:p>
    <w:p w14:paraId="0235BB02" w14:textId="6EDB0161" w:rsidR="006C0125" w:rsidRPr="006C0125" w:rsidRDefault="006C0125" w:rsidP="006C0125">
      <w:pPr>
        <w:pStyle w:val="font8"/>
        <w:numPr>
          <w:ilvl w:val="0"/>
          <w:numId w:val="4"/>
        </w:numPr>
        <w:textAlignment w:val="baseline"/>
        <w:rPr>
          <w:rFonts w:ascii="Arial" w:hAnsi="Arial" w:cs="Arial"/>
        </w:rPr>
      </w:pPr>
      <w:r w:rsidRPr="006C0125">
        <w:rPr>
          <w:rFonts w:ascii="Arial" w:hAnsi="Arial" w:cs="Arial"/>
        </w:rPr>
        <w:t>Relevant casework experience 2-3 years SP</w:t>
      </w:r>
      <w:r>
        <w:rPr>
          <w:rFonts w:ascii="Arial" w:hAnsi="Arial" w:cs="Arial"/>
        </w:rPr>
        <w:t>30</w:t>
      </w:r>
    </w:p>
    <w:p w14:paraId="6253E995" w14:textId="0795EEF3" w:rsidR="006C0125" w:rsidRPr="006C0125" w:rsidRDefault="006C0125" w:rsidP="006C0125">
      <w:pPr>
        <w:pStyle w:val="font8"/>
        <w:numPr>
          <w:ilvl w:val="0"/>
          <w:numId w:val="4"/>
        </w:numPr>
        <w:textAlignment w:val="baseline"/>
        <w:rPr>
          <w:rFonts w:ascii="Arial" w:hAnsi="Arial" w:cs="Arial"/>
        </w:rPr>
      </w:pPr>
      <w:r w:rsidRPr="006C0125">
        <w:rPr>
          <w:rFonts w:ascii="Arial" w:hAnsi="Arial" w:cs="Arial"/>
        </w:rPr>
        <w:t>Relevant casework experience 3-4 years SP</w:t>
      </w:r>
      <w:r>
        <w:rPr>
          <w:rFonts w:ascii="Arial" w:hAnsi="Arial" w:cs="Arial"/>
        </w:rPr>
        <w:t>3</w:t>
      </w:r>
      <w:r w:rsidRPr="006C0125">
        <w:rPr>
          <w:rFonts w:ascii="Arial" w:hAnsi="Arial" w:cs="Arial"/>
        </w:rPr>
        <w:t xml:space="preserve">1 </w:t>
      </w:r>
    </w:p>
    <w:p w14:paraId="4834D944" w14:textId="5EC739F0" w:rsidR="006C0125" w:rsidRPr="006C0125" w:rsidRDefault="006C0125" w:rsidP="006C0125">
      <w:pPr>
        <w:pStyle w:val="font8"/>
        <w:numPr>
          <w:ilvl w:val="0"/>
          <w:numId w:val="4"/>
        </w:numPr>
        <w:textAlignment w:val="baseline"/>
        <w:rPr>
          <w:rFonts w:ascii="Arial" w:hAnsi="Arial" w:cs="Arial"/>
        </w:rPr>
      </w:pPr>
      <w:r w:rsidRPr="006C0125">
        <w:rPr>
          <w:rFonts w:ascii="Arial" w:hAnsi="Arial" w:cs="Arial"/>
        </w:rPr>
        <w:t>Relevant casework experience 4-5 years SP</w:t>
      </w:r>
      <w:r>
        <w:rPr>
          <w:rFonts w:ascii="Arial" w:hAnsi="Arial" w:cs="Arial"/>
        </w:rPr>
        <w:t>3</w:t>
      </w:r>
      <w:r w:rsidRPr="006C0125">
        <w:rPr>
          <w:rFonts w:ascii="Arial" w:hAnsi="Arial" w:cs="Arial"/>
        </w:rPr>
        <w:t xml:space="preserve">2 </w:t>
      </w:r>
    </w:p>
    <w:p w14:paraId="2E7FD1E8" w14:textId="13192024" w:rsidR="006C0125" w:rsidRPr="006C0125" w:rsidRDefault="006C0125" w:rsidP="006C0125">
      <w:pPr>
        <w:pStyle w:val="font8"/>
        <w:numPr>
          <w:ilvl w:val="0"/>
          <w:numId w:val="4"/>
        </w:numPr>
        <w:textAlignment w:val="baseline"/>
        <w:rPr>
          <w:rFonts w:ascii="Arial" w:hAnsi="Arial" w:cs="Arial"/>
        </w:rPr>
      </w:pPr>
      <w:r w:rsidRPr="006C0125">
        <w:rPr>
          <w:rFonts w:ascii="Arial" w:hAnsi="Arial" w:cs="Arial"/>
        </w:rPr>
        <w:t>Relevant casework of 5 years + SP</w:t>
      </w:r>
      <w:r>
        <w:rPr>
          <w:rFonts w:ascii="Arial" w:hAnsi="Arial" w:cs="Arial"/>
        </w:rPr>
        <w:t>3</w:t>
      </w:r>
      <w:r w:rsidRPr="006C0125">
        <w:rPr>
          <w:rFonts w:ascii="Arial" w:hAnsi="Arial" w:cs="Arial"/>
        </w:rPr>
        <w:t xml:space="preserve">3 </w:t>
      </w:r>
    </w:p>
    <w:p w14:paraId="5DE1E50B" w14:textId="77777777" w:rsidR="006C0125" w:rsidRPr="00A36160" w:rsidRDefault="006C0125" w:rsidP="006C0125">
      <w:pPr>
        <w:pStyle w:val="font8"/>
        <w:spacing w:before="0" w:beforeAutospacing="0" w:after="0" w:afterAutospacing="0"/>
        <w:textAlignment w:val="baseline"/>
        <w:rPr>
          <w:rStyle w:val="color15"/>
          <w:rFonts w:ascii="Arial" w:hAnsi="Arial" w:cs="Arial"/>
        </w:rPr>
      </w:pPr>
    </w:p>
    <w:p w14:paraId="0A3187DB" w14:textId="77777777" w:rsidR="0051295B" w:rsidRPr="006C0125" w:rsidRDefault="0051295B" w:rsidP="006C0125"/>
    <w:sectPr w:rsidR="0051295B" w:rsidRPr="006C0125" w:rsidSect="006C0125">
      <w:headerReference w:type="default" r:id="rId9"/>
      <w:pgSz w:w="11906" w:h="16838"/>
      <w:pgMar w:top="253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ADFB1" w14:textId="77777777" w:rsidR="006B594E" w:rsidRDefault="006B594E" w:rsidP="006C0125">
      <w:pPr>
        <w:spacing w:after="0" w:line="240" w:lineRule="auto"/>
      </w:pPr>
      <w:r>
        <w:separator/>
      </w:r>
    </w:p>
  </w:endnote>
  <w:endnote w:type="continuationSeparator" w:id="0">
    <w:p w14:paraId="7560FAE2" w14:textId="77777777" w:rsidR="006B594E" w:rsidRDefault="006B594E" w:rsidP="006C0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CCCD7" w14:textId="77777777" w:rsidR="006B594E" w:rsidRDefault="006B594E" w:rsidP="006C0125">
      <w:pPr>
        <w:spacing w:after="0" w:line="240" w:lineRule="auto"/>
      </w:pPr>
      <w:r>
        <w:separator/>
      </w:r>
    </w:p>
  </w:footnote>
  <w:footnote w:type="continuationSeparator" w:id="0">
    <w:p w14:paraId="76FABB50" w14:textId="77777777" w:rsidR="006B594E" w:rsidRDefault="006B594E" w:rsidP="006C0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C9811" w14:textId="6DD242D9" w:rsidR="006C0125" w:rsidRDefault="006C0125">
    <w:pPr>
      <w:pStyle w:val="Header"/>
    </w:pPr>
    <w:r w:rsidRPr="006969AC">
      <w:rPr>
        <w:noProof/>
        <w:sz w:val="22"/>
      </w:rPr>
      <w:drawing>
        <wp:anchor distT="0" distB="0" distL="114300" distR="114300" simplePos="0" relativeHeight="251659264" behindDoc="0" locked="0" layoutInCell="1" allowOverlap="1" wp14:anchorId="365B78AB" wp14:editId="6E30F915">
          <wp:simplePos x="0" y="0"/>
          <wp:positionH relativeFrom="column">
            <wp:posOffset>0</wp:posOffset>
          </wp:positionH>
          <wp:positionV relativeFrom="page">
            <wp:posOffset>448945</wp:posOffset>
          </wp:positionV>
          <wp:extent cx="2112552" cy="733425"/>
          <wp:effectExtent l="0" t="0" r="2540" b="0"/>
          <wp:wrapNone/>
          <wp:docPr id="1220056314" name="Picture 1220056314" descr="cid:image011.png@01D03B1F.0A369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1.png@01D03B1F.0A369A8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2113636" cy="73380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231F"/>
    <w:multiLevelType w:val="multilevel"/>
    <w:tmpl w:val="03B49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F03C74"/>
    <w:multiLevelType w:val="multilevel"/>
    <w:tmpl w:val="F372E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E24174"/>
    <w:multiLevelType w:val="hybridMultilevel"/>
    <w:tmpl w:val="65922A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7AC11FBC"/>
    <w:multiLevelType w:val="multilevel"/>
    <w:tmpl w:val="4F68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9162798">
    <w:abstractNumId w:val="1"/>
  </w:num>
  <w:num w:numId="2" w16cid:durableId="492451112">
    <w:abstractNumId w:val="0"/>
  </w:num>
  <w:num w:numId="3" w16cid:durableId="35274254">
    <w:abstractNumId w:val="3"/>
  </w:num>
  <w:num w:numId="4" w16cid:durableId="10036276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125"/>
    <w:rsid w:val="001F5003"/>
    <w:rsid w:val="00213288"/>
    <w:rsid w:val="0051295B"/>
    <w:rsid w:val="006B594E"/>
    <w:rsid w:val="006C0125"/>
    <w:rsid w:val="007500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FA64B"/>
  <w15:chartTrackingRefBased/>
  <w15:docId w15:val="{EF8F1F63-D846-4200-8C22-AD015A3B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01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01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01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01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01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01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01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01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01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1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01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01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01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01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01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01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01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0125"/>
    <w:rPr>
      <w:rFonts w:eastAsiaTheme="majorEastAsia" w:cstheme="majorBidi"/>
      <w:color w:val="272727" w:themeColor="text1" w:themeTint="D8"/>
    </w:rPr>
  </w:style>
  <w:style w:type="paragraph" w:styleId="Title">
    <w:name w:val="Title"/>
    <w:basedOn w:val="Normal"/>
    <w:next w:val="Normal"/>
    <w:link w:val="TitleChar"/>
    <w:uiPriority w:val="10"/>
    <w:qFormat/>
    <w:rsid w:val="006C01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01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01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01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0125"/>
    <w:pPr>
      <w:spacing w:before="160"/>
      <w:jc w:val="center"/>
    </w:pPr>
    <w:rPr>
      <w:i/>
      <w:iCs/>
      <w:color w:val="404040" w:themeColor="text1" w:themeTint="BF"/>
    </w:rPr>
  </w:style>
  <w:style w:type="character" w:customStyle="1" w:styleId="QuoteChar">
    <w:name w:val="Quote Char"/>
    <w:basedOn w:val="DefaultParagraphFont"/>
    <w:link w:val="Quote"/>
    <w:uiPriority w:val="29"/>
    <w:rsid w:val="006C0125"/>
    <w:rPr>
      <w:i/>
      <w:iCs/>
      <w:color w:val="404040" w:themeColor="text1" w:themeTint="BF"/>
    </w:rPr>
  </w:style>
  <w:style w:type="paragraph" w:styleId="ListParagraph">
    <w:name w:val="List Paragraph"/>
    <w:basedOn w:val="Normal"/>
    <w:uiPriority w:val="34"/>
    <w:qFormat/>
    <w:rsid w:val="006C0125"/>
    <w:pPr>
      <w:ind w:left="720"/>
      <w:contextualSpacing/>
    </w:pPr>
  </w:style>
  <w:style w:type="character" w:styleId="IntenseEmphasis">
    <w:name w:val="Intense Emphasis"/>
    <w:basedOn w:val="DefaultParagraphFont"/>
    <w:uiPriority w:val="21"/>
    <w:qFormat/>
    <w:rsid w:val="006C0125"/>
    <w:rPr>
      <w:i/>
      <w:iCs/>
      <w:color w:val="0F4761" w:themeColor="accent1" w:themeShade="BF"/>
    </w:rPr>
  </w:style>
  <w:style w:type="paragraph" w:styleId="IntenseQuote">
    <w:name w:val="Intense Quote"/>
    <w:basedOn w:val="Normal"/>
    <w:next w:val="Normal"/>
    <w:link w:val="IntenseQuoteChar"/>
    <w:uiPriority w:val="30"/>
    <w:qFormat/>
    <w:rsid w:val="006C01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0125"/>
    <w:rPr>
      <w:i/>
      <w:iCs/>
      <w:color w:val="0F4761" w:themeColor="accent1" w:themeShade="BF"/>
    </w:rPr>
  </w:style>
  <w:style w:type="character" w:styleId="IntenseReference">
    <w:name w:val="Intense Reference"/>
    <w:basedOn w:val="DefaultParagraphFont"/>
    <w:uiPriority w:val="32"/>
    <w:qFormat/>
    <w:rsid w:val="006C0125"/>
    <w:rPr>
      <w:b/>
      <w:bCs/>
      <w:smallCaps/>
      <w:color w:val="0F4761" w:themeColor="accent1" w:themeShade="BF"/>
      <w:spacing w:val="5"/>
    </w:rPr>
  </w:style>
  <w:style w:type="character" w:styleId="Hyperlink">
    <w:name w:val="Hyperlink"/>
    <w:basedOn w:val="DefaultParagraphFont"/>
    <w:uiPriority w:val="99"/>
    <w:unhideWhenUsed/>
    <w:rsid w:val="006C0125"/>
    <w:rPr>
      <w:color w:val="467886" w:themeColor="hyperlink"/>
      <w:u w:val="single"/>
    </w:rPr>
  </w:style>
  <w:style w:type="character" w:styleId="UnresolvedMention">
    <w:name w:val="Unresolved Mention"/>
    <w:basedOn w:val="DefaultParagraphFont"/>
    <w:uiPriority w:val="99"/>
    <w:semiHidden/>
    <w:unhideWhenUsed/>
    <w:rsid w:val="006C0125"/>
    <w:rPr>
      <w:color w:val="605E5C"/>
      <w:shd w:val="clear" w:color="auto" w:fill="E1DFDD"/>
    </w:rPr>
  </w:style>
  <w:style w:type="paragraph" w:customStyle="1" w:styleId="font8">
    <w:name w:val="font_8"/>
    <w:basedOn w:val="Normal"/>
    <w:rsid w:val="006C0125"/>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color15">
    <w:name w:val="color_15"/>
    <w:basedOn w:val="DefaultParagraphFont"/>
    <w:rsid w:val="006C0125"/>
  </w:style>
  <w:style w:type="paragraph" w:styleId="Header">
    <w:name w:val="header"/>
    <w:basedOn w:val="Normal"/>
    <w:link w:val="HeaderChar"/>
    <w:uiPriority w:val="99"/>
    <w:unhideWhenUsed/>
    <w:rsid w:val="006C0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0125"/>
  </w:style>
  <w:style w:type="paragraph" w:styleId="Footer">
    <w:name w:val="footer"/>
    <w:basedOn w:val="Normal"/>
    <w:link w:val="FooterChar"/>
    <w:uiPriority w:val="99"/>
    <w:unhideWhenUsed/>
    <w:rsid w:val="006C0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uthwarklawcentre.org.uk/" TargetMode="External"/><Relationship Id="rId3" Type="http://schemas.openxmlformats.org/officeDocument/2006/relationships/settings" Target="settings.xml"/><Relationship Id="rId7" Type="http://schemas.openxmlformats.org/officeDocument/2006/relationships/hyperlink" Target="mailto:bethan.mcgovern@southwarklawcentre.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6.png@01D126DE.C6205D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879993-c641-45f8-b1a2-d6ecb611a34d}" enabled="1" method="Privileged" siteId="{c4aac716-8ed8-4567-8109-824167af23d8}"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450</Words>
  <Characters>2513</Characters>
  <Application>Microsoft Office Word</Application>
  <DocSecurity>0</DocSecurity>
  <Lines>66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Edgar (Southwark LC)</dc:creator>
  <cp:keywords/>
  <dc:description/>
  <cp:lastModifiedBy>Stacey Edgar (Southwark LC)</cp:lastModifiedBy>
  <cp:revision>2</cp:revision>
  <dcterms:created xsi:type="dcterms:W3CDTF">2026-09-07T13:20:00Z</dcterms:created>
  <dcterms:modified xsi:type="dcterms:W3CDTF">2026-09-07T13:31:00Z</dcterms:modified>
</cp:coreProperties>
</file>